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 van Orde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Samenwerkingsafspraken GS - 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352,33 KB</text:p>
          </table:table-cell>
          <table:table-cell table:style-name="Table3.A2" office:value-type="string">
            <text:p text:style-name="P22">
              <text:a xlink:type="simple" xlink:href="https://stateninformatie.flevoland.nl/Documenten/Samenwerkingsafspraken-GS-PS-Omgevingswe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Klankbordgesprekken Commissaris van de Koning en Provinciale Staten 2024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Klankbordgesprekken-Commissaris-van-de-Koning-en-Provinciale-Stat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Provinciale Staten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44,05 MB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Provinciale-Staten-Flevo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Werkgeverscommissie Statengriffier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Werkgeverscommissie-Statengriffi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vertrouwenscommissie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vertrouwenscommissie-Provincie-Flevolan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rechtspositie Staten- en burgerleden en andere commissieleden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189,14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rechtspositie-Staten-en-burgerleden-en-andere-commissieled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Fractieondersteuning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213,60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Fractieondersteun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Ambtelijke bijstand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Ambtelijke-bijstan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Reglement van Orde Digitaal Vergaderen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290,93 KB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Digitaal-Vergader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Inspraakverordening 2006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spraakverordening-2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7" meta:character-count="942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