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vaststelling aangepaste Subsidieverordening ESF Doelstelling 1 en intrekking van de vastgestelde Subsidieverordening ESF Doelstelling 1 d.d. 1 maart 2001.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steun aan de Stichting Nederland bouwt VOC Retourschip.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Benoeming dhr. G.W. Bulk in de IPO-klankbordgroep Informatievoorziening Statenleden.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bestemming rekeningresultaat 2000.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vaststellen van de provinciale co-financiering Leader+.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Vervolgtraject "Afstemming lokaal preventief jeugdbeleid en provinciale jeugdzorg".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vaststelling van de Nota Archeologiebeleid.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bijdrage NUON voor de provincie Flevoland t.b.v. kunstwerken in Lelystad en Zeewolde, alsmede vaststelling van de 18e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ondertekening Convenant IIVR (Integrale Inrichting Veluwerandmeren) behorende bij het inrichtingsplan Veluwerandmeren.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 oprichting van De Aanjager BV.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verlenen onderwijssubsidies 2001.
              <text:span text:style-name="T2"/>
            </text:p>
            <text:p text:style-name="P3"/>
          </table:table-cell>
          <table:table-cell table:style-name="Table3.A2" office:value-type="string">
            <text:p text:style-name="P4">07-06-2001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6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4" meta:character-count="1463" meta:non-whitespace-character-count="1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