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voorstel inzake toezichtbrief 2004 aan de Minister van Binnenlandse Zaken en Koninkrijksrelaties.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toezichtbrief 2004 aan de Minister van Binnenlandse Zaken en Koninkrijksrelaties.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Bedrijfsplan 
              <text:s/>
              Ontwikkelingsmaatschappij 
              <text:s/>
             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voorstel inzake vaststelling bestuurlijke gedragscode (gedragscode).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bestuurlijke gedragscode.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voorstel inzake Bedrijfsplan 
              <text:s/>
              Ontwikkelingsmaatschappij 
              <text:s/>
              Flevoland (toelichting).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bij voorstel inzake provinciale bijdrage Wonen, Welzijn en Zorg (PBWZZ) 2004-2007 (beleidsregel).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voorstel inzake provinciale bijdrage Wonen, Welzijn en Zorg (PBWZZ) 2004-2007 (antwoordnota).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provinciale bijdrage Wonen, Welzijn en Zorg (PBWZZ) 2004-2007.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bij voorstel inzake Beleidsvisie speciaal onderwijs 2004-2008 (verslag).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bij voorstel inzake Beleidsvisie speciaal onderwijs 2004-2008 (visie).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Beleidsvisie speciaal onderwijs 2004-2008.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6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Bijalge 1 bij voorstel inzake vaststelling beleidsregel Stimulering Hoger Onderwijs Flevoland (beleidsregel).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vaststelling beleidsregel Stimulering Hoger Onderwijs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5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1" meta:character-count="1765" meta:non-whitespace-character-count="1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