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 Concept-programmabegroting 2006 / 
              <text:s/>
              onderzoeksprogramma 2006 Randstedelijke Rekenkamer; 
              <text:s/>
              b. Concept-verordeningen op grond van de artikelen 216 en 217 van de Provinciewet oor de Randstedelijke Rekenkamer.
              <text:span text:style-name="T2"/>
            </text:p>
            <text:p text:style-name="P3"/>
          </table:table-cell>
          <table:table-cell table:style-name="Table3.A2" office:value-type="string">
            <text:p text:style-name="P4">17-11-2005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291,02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7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bij de 11e wijziging van de begroting 2005 van de provincie Flevoland. De 11e 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17-11-2005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167,35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bij de 1e wijziging van de begroting 2006 van de provincie Flevoland.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17-11-2005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180,67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6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bij de 1e wijziging van de begroting 2006 van de provincie Flevoland. De 1e 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17-11-2005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172,46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5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bij de 11e wijziging van de begroting 2005 van de provincie Flevoland.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17-11-2005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5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inzake vaststellen van de 11e wijziging van de begroting 2005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17-11-2005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5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vaststellen van de 1e wijziging van de begroting 2006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17-11-2005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232,36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5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Audiovisuele (her)inrichting en infrastructuur van het provinciehuis.
              <text:span text:style-name="T2"/>
            </text:p>
            <text:p text:style-name="P3"/>
          </table:table-cell>
          <table:table-cell table:style-name="Table3.A2" office:value-type="string">
            <text:p text:style-name="P4">17-11-2005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242,52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5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bij Aanwijzing en normering regionale waterkeringen.
              <text:span text:style-name="T2"/>
            </text:p>
            <text:p text:style-name="P3"/>
          </table:table-cell>
          <table:table-cell table:style-name="Table3.A2" office:value-type="string">
            <text:p text:style-name="P4">16-11-2005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411,76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RU05-11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Aanwijzing en normering regionale waterkeringen.
              <text:span text:style-name="T2"/>
            </text:p>
            <text:p text:style-name="P3"/>
          </table:table-cell>
          <table:table-cell table:style-name="Table3.A2" office:value-type="string">
            <text:p text:style-name="P4">16-11-2005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282,69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RU05-1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Programmabegroting 2006: brief bij Addendum nota Strategische Pijlers 2005 - 2007.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4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Progammabegroting 2006: Addendum nota Strategische Pijlers 2005 - 2007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3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Programma begroting 2006.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3,49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3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Definitieve strategische pijlers 2005-2007.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703,12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3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inzake Najaarsnota 2005.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185,54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1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bij de 
              <text:s/>
              Negende wijziging Legesverordening 1998. Negende wijziging Legesverordening 1998.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3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bij het voorstel inzake Najaarsnota 2005.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465,36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-05012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bij het voorstel inzake Normenkader rechtmatigheid. Controleopdracht 2005 Accountant.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320,49 KB
            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2 bij het voorstel inzake Normenkader rechtmatigheid. Landelijke wet-en regelgeving in het kader van de rechtmatigheidscontrole.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1 bij het voorstel inzake Normenkader rechtmatigheid. Door Provinciale Staten vastgestelde verordeningen en beleidsregels.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169,79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bij het voorstel inzake de 10e wijziging van de begroting 2005 van de Provincie Flevoland. De 10e 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168,48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het voorstel inzake de 10e wijziging van de begroting 2005 van de Provincie Flevoland.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1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inzake Normenkader rechtmatigheid.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226,14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1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inzake de 10e wijziging van de begroting 
              <text:s/>
              2005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226,72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1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bij het voorstel inzake de Negende wijziging Legesverordening 1998. Tarieventabel.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317,40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1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inzake Opcenten motorrijtuigenbelasting per 1 april 2006.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195,67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1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inzake Negende wijziging Legesverordening 1998.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243,25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1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inzake Programmabegroting 2006 en strategische pijlers 2005-2007.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251,26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1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96" meta:character-count="3348" meta:non-whitespace-character-count="30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