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bij 
              <text:s/>
              Aanbesteding accountant.Gunningsadvies accountantsdiensten.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Aanbesteding accountant.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201,01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8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
              <text:s/>
              Vaststelling Algemene Subsidieverordening Flevoland 2006; intrekking Algemene Subsidieverordening Flevoland 1999. ASF 2006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benoeming provinciaal archiefinspecteur.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250,05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7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Vaststelling Algemene Subsidieverordening Flevoland 2006; intrekking Algemene Subsidieverordening Flevoland 1999.
              <text:span text:style-name="T2"/>
            </text:p>
            <text:p text:style-name="P3"/>
          </table:table-cell>
          <table:table-cell table:style-name="Table3.A2" office:value-type="string">
            <text:p text:style-name="P4">15-12-2005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BE05-18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3 bij voorstel inzake Randstedelijke Rekenkamer.Conceptverordening artikel 216.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1 bij Concept begroting Randstedelijke Rekenkamer.Begroting/onderzoeksprogramma.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inzake; a. concept-programmabegroting 2006/onderzoeksprogramma 2006 Randstedelijke Rekenkamer; b. concept-verordeningen op grond van de 
              <text:soft-page-break/>
              artikelen 216 en 217 van de Provinciewet voor de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291,35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audiovisuele (her)inrichting en infrastructuur van het provinciehuis.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aanwijzing en normering regionale waterkeringen.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271,82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Herstemming motie E statenvergadering 10 november 2005.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186,20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5 bij voorstel inzake 
              <text:s/>
              Randstedelijke Rekenkamer.Conceptverordening artikel 217.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4 bij voorstel inzake Randstedelijke Rekenkamer.Conceptverordening artikel 217.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
              <text:s/>
              bij het vorostel inzake Randstedelijke Rekenkamer.Begroting/onderzoeksprogramma.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bij 
              <text:s/>
              De 1e wijziging van de begroting 2006 van de Provincie Flevoland.De 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bij 
              <text:s/>
              de 1e wijziging van de begroting 2006 van de Provincie Flevoland.Toellichting.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5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inzake Stimuleringsregeling "Jonge Boeren".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Bijlage bij 
              <text:s/>
              Aanwijzing en normering regionale waterkeringen.Besluit.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Bijlage 2 bij de 11e wijziging van de begroting 2005 van de provincie Flevoland. De 11e 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Bijlage 1 bij De 11e wijziging van de begroting 2005 van de provincie Flevoland.Toelichting.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inzake de 11e wijziging van de begroting 2005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inzake de 1e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08-12-2005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5-014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3" meta:character-count="2734" meta:non-whitespace-character-count="2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