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2006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ingekomen stukken PS 7 december 2006.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07-12-2006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6y0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