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Minister EL&amp;amp;I overleg verplaatsing windturbines windpark Noordoostpolder houtribdijk 1234811 &amp;amp; 1247204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r202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PS mededeling uitvoeringsprogramma jeugdzorg 2012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qms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IFA - Mededeling Staten halfjaar- en jaarverslag 2011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st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jaarrapport openbaar streek- en stadsvervoer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p4h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reactie Haarlemmermeer op kabinetsvisie bestuur en bestuurlijke 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-52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Stichtse Putten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y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GS - 
              <text:s/>
              afhandeling van de motie windmolens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ck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aangepaste mededeling PS uitganspunten redeljike termijn ombuigingen gesubsidieerde instellngen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m8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PS afronding motie asbest PV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lb08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Positie Provincie bij planontwikkeling themapak maritiem erfgoed aan Lelystadse kuststrook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s2502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stuk - 
              <text:s/>
              bezuiniging sfb - 
              <text:s/>
              Servicecentrum Flevolandse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kvm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PS mededeling over de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cs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Kerncijfers Jeugdzorg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y01.doc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uitnodiging- NMFF - Versnellingsdebat Lokale Energie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5h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NVJ op voorgenomen korten basisfinanciering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qhqd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0" meta:character-count="1536" meta:non-whitespace-character-count="1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