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Tweede kwartaalbericht Integraal Afsprakenkader Almere en RRAAM-projecten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q9701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commissie - stand van zaken Eduvier jan 2011
              <text:span text:style-name="T2"/>
            </text:p>
            <text:p text:style-name="P3"/>
          </table:table-cell>
          <table:table-cell table:style-name="Table3.A2" office:value-type="string">
            <text:p text:style-name="P4">24-01-2011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-d101.doc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Strategie partiële herziening intensieve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21-01-2011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-0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Ontwikkeling Repelweg 12 Marknesse (gemeente Noordoostpolder)
              <text:span text:style-name="T2"/>
            </text:p>
            <text:p text:style-name="P3"/>
          </table:table-cell>
          <table:table-cell table:style-name="Table3.A2" office:value-type="string">
            <text:p text:style-name="P4">18-01-2011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mq802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Mededelingen Commissie: verslag werk-conferentie 'Gebiedsontwikkeling Lely-stad Airport - duurzaam en innovatief'
              <text:span text:style-name="T2"/>
            </text:p>
            <text:p text:style-name="P3"/>
          </table:table-cell>
          <table:table-cell table:style-name="Table3.A2" office:value-type="string">
            <text:p text:style-name="P4">06-01-2011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8c03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standpunt raad Lelystad inzake regeerakkoord opschaling provinciaal 
              <text:s/>
              bestuur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03-01-2011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ng25b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746" meta:non-whitespace-character-count="6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