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Randstedelijke Rekenkamer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02291-v1-Randstedelijke-Rekenkamer-Jaarstukken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Randstedelijke Rekenkamer Onderzoeksopzet Wonen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02283-v1-Randstedelijke-Rekenkamer-Onderzoeksopzet-Wo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Kennisgeving OFGV inzake voorlopige jaarrekening 2018 Omgevingsdienst Flevoland &amp;amp; Gooi-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01719-v1-Kennisgeving-OFGV-inzake-voorlopige-jaarrekening-2018-Omgevingsdienst-Flevoland-Gooi-en-Vechtstre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Reactie Flevoland agendering MRA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01519-v1-Reactie-Flevoland-agendering-MR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aanbieden jaarverslag bezwaar en beroep 2018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7102-v3-PS-Aanbieden-jaarverslag-bezwaar-en-beroep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PS Evaluatie MKB Doorstartfonds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3574-v4-Mededeling-PS-Evaluatie-MKB-Doorstartfond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- Plafondverhoging JOLA 2018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2321-v8-PS-mededeling-Plafondverhoging-JOLA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PS pilot preventie remmende intergenerationele overdracht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2108-v2-Mededeling-PS-pilot-preventie-remmende-intergenerationele-overdra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voor PS over Conditie grote grazers en bijvoeren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6878-v2-Mededeling-voor-PS-over-Conditie-grote-grazers-en-bijvo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Perspectiefnota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5719-v2-Perspectiefnota-2020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GS d d 
              <text:s/>
              dinsdag 12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1257-v3-Besluitenlijst-GS-d-d-dinsdag-12-maart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Staten merknaam en huisstijl regionaal ov Oost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0616-v6-Mededeling-Staten-merknaam-en-huisstijl-regionaal-ov-Oo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
              <text:s/>
              Plafondverhoging Niet Productieve Investeringen Water 2018 POP3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6571-v10-PS-mededeling-Plafondverhoging-Niet-Productieve-Investeringen-Water-2018-POP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Persbericht Oostvaardersplassen 
              <text:s/>
              Deel konikpaarden Oostvaardersplassen naar Spanje en Wit-Rusland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3794-v1-Persbericht-Oostvaardersplassen-Deel-konikpaarden-Oostvaardersplassen-naar-Spanje-en-Wit-Rus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PS-mededeling Uitvoering geitenstop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1216-v7-PS-mededeling-Uitvoering-geitensto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Ontwerp verordening en programma Geitenhouderijen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5163-v6-PS-mededeling-Ontwerp-verordening-en-programma-Geitenhouderij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Kennisgeving 
              <text:s/>
              mening dierenleed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7257-v1-Kennisgeving-mening-dierenleed-Oostvaarderplas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Maandupdate Staatsbosbeheer Oostvaardersplassengebied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0749-v1-Maandupdate-Staatsbosbeheer-Oostvaardersplassengebied-maart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IBT Wabo 2018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1645-v3-PS-Mededeling-IBT-Wabo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ontwerp Natuurbeheerplan Flevoland 2020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2189-v3-PS-mededeling-Ontwerp-Natuurbeheerplan-Flevoland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59" meta:character-count="1812" meta:non-whitespace-character-count="1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