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FvD - De bestrijding van het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5718-v4-Beantwoording-schriftelijke-vragen-FvD-De-bestrijding-van-het-coronavir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FvD - De bestrijding van het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69080-v1-Schriftelijke-vragen-FvD-De-bestrijding-van-het-coronavir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=Beantwoording schriftelijke vragen - FvD - Afvaldump door Rijkswaterstaat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9295-v3-Beantwoording-schriftelijke-vragen-FvD-de-aflevering-De-afvaldump-door-Rijkswaterst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FvD - De afvaldump door Rijkswaterstaat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8848-v1-Schriftelijke-vragen-FvD-De-afvaldump-door-Rijkswaterst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VVD - Inditex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8465-v1-Schriftelijke-vragen-VVD-Indite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SGP - Veiligheidsregio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7399-v2-Beantwoording-schriftelijke-vragen-SGP-Veiligheidsregio-vervolg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
              <text:s/>
              GroenLinks - Solar Carport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7293-v2-Beantwoording-schriftelijke-vragen-GroenLinks-Solar-Car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- 50PLUS - Transparantie duurzame energie opgave en huidige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7242-v2-Beantwoording-schriftelijke-vragen-50PLUS-Transparantie-duurzame-energie-opgave-en-huidige-projec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- 50PLUS - Transparantie duurzame energie opgave en huidige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6660-v1-Schriftelijke-vragen-50PLUS-Transparantie-duurzame-energie-opgave-en-huidige-pro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9" meta:character-count="1044" meta:non-whitespace-character-count="9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