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GroenLinks - De regelgeving rond de verplaatsing van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10426-v2-Beantwoording-schriftelijke-vragen-GroenLinks-de-regelgeving-rond-de-verplaatsing-van-Heckrund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GroenLinks - Regelgeving Heckrunderen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609859-v1-Schriftelijke-vragen-GroenLinks-Regelgeving-Heckrun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42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