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CDA - Problemen met vervangend busvervoer Lelystad - Dronten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848,37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3011359-v2-Beantwoording-schriftelijke-vragen-CDA-Problemen-met-vervangend-busvervoer-Lelystad-Dro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CDA - Problemen met vervangend busvervoer Lelystad - Dronten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3010697-v1-Schriftelijke-vragen-CDA-Problemen-met-vervangend-busvervoer-Lelystad-Dro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- 50PLUS - Woekerwinsten 
              <text:s/>
              duurzame 
              <text:s/>
              energie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3011937-v2-Beantwoording-schriftelijke-vragen-50PLUS-Woekerwinsten-duurzame-e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- 50PLUS - Woekerwinsten 
              <text:s/>
              duurzame energie (kosten provincie m.b.t. dossier Meta)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3010443-v1-Schriftelijke-vragen-50PLUS-Woekerwinsten-duurzame-energie-kosten-provincie-m-b-t-dossier-Met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JA21 - Rol van gedeputeerde Hofstra inzake de opsplitsing van de WBE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708,55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3011923-v3-Beantwoording-schriftelijke-vragen-JA21-Rol-van-gedeputeerde-Hofstra-inzake-de-opsplitsing-van-de-WBE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JA21 - rol van gedeputeerde Hofstra inzake de opsplitsing van de WBE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3006501-v1-Schriftelijke-vragen-JA21-rol-van-gedeputeerde-Hofstra-inzake-de-opsplitsing-van-de-WBE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35" meta:character-count="885" meta:non-whitespace-character-count="7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