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SterkLokaalFlevoland - Gevolgen promotie Almere City F.C.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0468-v2-Beantwoording-schriftelijke-vragen-SterkLokaalFlevoland-Gevolgen-promotie-Almere-City-F-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SterkLokaalFlevoland - Gevolgen promotie Almere City FC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6689-v2-Schriftelijke-vragen-SterkLokaalFlevoland-Gevolgen-promotie-Almere-City-F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 - Achteruitgang van vlinders waterbeheer en het waterpeil gericht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0547-v2-Beantwoording-schriftelijke-vragen-PvdD-Achteruitgang-van-vlinders-waterbeheer-en-het-waterpeil-gericht-op-land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schriftelijke vragen - PvdD - Achteruitgang van vlinders, waterbeheer en het waterpeil gericht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456,24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5562-v3-Uitstelbericht-schriftelijke-vragen-PvdD-Achteruitgang-van-vlinders-waterbeheer-en-het-waterpeil-gericht-op-landbo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PvdD - Achteruitgang van vlinders, waterbeheer en het waterpeil gericht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4552-v1-Schriftelijke-vragen-PvdD-Achteruitgang-van-vlinders-waterbeheer-en-het-waterpeil-gericht-op-landbou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Forum voor Democratie - Stikstof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1297-v4-Beantwoording-schriftelijke-vragen-Forum-voor-Democratie-Stikstof-vervolgvr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FvD - Vervolgvragen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0037-v1-Schriftelijke-vragen-FvD-Vervolgvragen-stiksto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6" meta:character-count="986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