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424-v3-Beantwoording-schriftelijke-vragen-FvD-Functioneren-taxatiepro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2109-v3-Beantwoording-schriftelijke-vragen-50PLUS-Vragen-m-b-t-positie-staten-binnen-MRA-besluitvo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927-v1-Schriftelijke-vragen-50PLUS-Vragen-m-b-t-positie-staten-binnen-MRA-besluit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8593-v3-Uitstelbericht-beantwoording-schriftelijke-vragen-FvD-Functioneren-taxatieproc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385-v1-Schriftelijke-vragen-FvD-Functioneren-taxatieproc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287-v4-Beantwoording-schriftelijke-vragen-FvD-Mededeling-review-Oostvaardersplas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914-v1-Schriftelijke-vragen-FvD-Mededeling-review-Oostvaardersplass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vragen- FvD - Mededeling review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6086-v3-Uitstelbericht-beantwoording-schriftelijke-vragen-FvD-Mededeling-review-Oostvaarderspla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73-v5-Beantwoording-schriftelijke-vragen-PvdD-Stikstofproblematiek-en-priorite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Uitstelbericht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9322-v3-Uitstelbericht-beantwoording-schriftelijke-vragen-PvdD-Stikstofproblematiek-en-priorite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66-v3-Beantwoording-schriftelijke-vragen-D66-Lelylij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85-v1-Schriftelijke-vragen-PvdD-Stikstofproblematiek-en-prioritei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26-v1-Schriftelijke-vragen-D66-Lely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439-v3-Brief-aan-PS-Beantwoording-schriftelijke-vragen-50PLUS-Vragen-n-a-v-publicatie-NRC-1-nov-NVWA-greep-niet-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387-v1-Schriftelijke-vragen-50PLUS-Vragen-n-a-v-publicatie-NRC-1-nov-NVWA-greep-niet-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5" meta:character-count="1734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